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66CB" w14:textId="77777777" w:rsidR="00F7096A" w:rsidRPr="006108CD" w:rsidRDefault="00F7096A" w:rsidP="00F7096A">
      <w:pPr>
        <w:pStyle w:val="Intestazione"/>
        <w:jc w:val="right"/>
        <w:rPr>
          <w:b/>
          <w:bCs/>
          <w:sz w:val="24"/>
          <w:szCs w:val="24"/>
        </w:rPr>
      </w:pPr>
      <w:r w:rsidRPr="006108CD">
        <w:rPr>
          <w:b/>
          <w:bCs/>
          <w:sz w:val="24"/>
          <w:szCs w:val="24"/>
        </w:rPr>
        <w:t>Allegato A1</w:t>
      </w:r>
    </w:p>
    <w:p w14:paraId="0FA9840C" w14:textId="77777777" w:rsidR="00F7096A" w:rsidRDefault="00F7096A">
      <w:pPr>
        <w:pStyle w:val="Corpotesto"/>
        <w:spacing w:before="81"/>
        <w:ind w:right="591"/>
        <w:jc w:val="center"/>
      </w:pPr>
    </w:p>
    <w:p w14:paraId="15DD5EAD" w14:textId="509BA304" w:rsidR="00F7096A" w:rsidRDefault="00F7096A">
      <w:pPr>
        <w:spacing w:before="7"/>
        <w:rPr>
          <w:b/>
        </w:rPr>
      </w:pPr>
    </w:p>
    <w:p w14:paraId="3DF2A145" w14:textId="77777777" w:rsidR="00F7096A" w:rsidRDefault="00F7096A" w:rsidP="00F7096A">
      <w:pPr>
        <w:pStyle w:val="Corpotesto"/>
        <w:spacing w:before="81"/>
        <w:ind w:right="591"/>
        <w:jc w:val="center"/>
        <w:rPr>
          <w:u w:val="thick"/>
        </w:rPr>
      </w:pPr>
      <w:r>
        <w:t>Declaratoria</w:t>
      </w:r>
      <w:r>
        <w:rPr>
          <w:b w:val="0"/>
          <w:spacing w:val="-10"/>
        </w:rPr>
        <w:t xml:space="preserve"> </w:t>
      </w:r>
      <w:r>
        <w:t>competenze</w:t>
      </w:r>
      <w:r>
        <w:rPr>
          <w:b w:val="0"/>
          <w:spacing w:val="-9"/>
        </w:rPr>
        <w:t xml:space="preserve"> </w:t>
      </w:r>
      <w:r>
        <w:t>della</w:t>
      </w:r>
      <w:r>
        <w:rPr>
          <w:b w:val="0"/>
          <w:spacing w:val="-8"/>
        </w:rPr>
        <w:t xml:space="preserve"> </w:t>
      </w:r>
      <w:r>
        <w:rPr>
          <w:spacing w:val="-5"/>
        </w:rPr>
        <w:t>Posizione non dirigenziale di Elevata Qualificazione</w:t>
      </w:r>
    </w:p>
    <w:p w14:paraId="2021AD9C" w14:textId="64838567" w:rsidR="00F7096A" w:rsidRPr="00790D40" w:rsidRDefault="00F7096A" w:rsidP="00F7096A">
      <w:pPr>
        <w:pStyle w:val="Corpotesto"/>
        <w:spacing w:before="81"/>
        <w:ind w:right="591"/>
        <w:jc w:val="center"/>
      </w:pPr>
      <w:r w:rsidRPr="00790D40">
        <w:t>EQ4  -</w:t>
      </w:r>
      <w:r w:rsidRPr="00790D40">
        <w:rPr>
          <w:b w:val="0"/>
          <w:spacing w:val="47"/>
        </w:rPr>
        <w:t xml:space="preserve"> </w:t>
      </w:r>
      <w:r w:rsidRPr="00790D40">
        <w:t>€</w:t>
      </w:r>
      <w:r w:rsidRPr="00790D40">
        <w:rPr>
          <w:b w:val="0"/>
          <w:spacing w:val="51"/>
        </w:rPr>
        <w:t xml:space="preserve"> </w:t>
      </w:r>
      <w:r w:rsidRPr="00790D40">
        <w:rPr>
          <w:spacing w:val="-2"/>
        </w:rPr>
        <w:t>7.000,00</w:t>
      </w:r>
    </w:p>
    <w:p w14:paraId="470DEF78" w14:textId="77777777" w:rsidR="00F7096A" w:rsidRDefault="00F7096A" w:rsidP="00F7096A">
      <w:pPr>
        <w:rPr>
          <w:b/>
        </w:rPr>
      </w:pPr>
    </w:p>
    <w:p w14:paraId="7CA8B877" w14:textId="77777777" w:rsidR="00F7096A" w:rsidRDefault="00F7096A" w:rsidP="00F7096A">
      <w:pPr>
        <w:rPr>
          <w:b/>
        </w:rPr>
      </w:pPr>
    </w:p>
    <w:p w14:paraId="6FB9A051" w14:textId="77777777" w:rsidR="00F7096A" w:rsidRDefault="00F7096A" w:rsidP="00F7096A">
      <w:pPr>
        <w:ind w:left="376" w:right="3007"/>
      </w:pPr>
      <w:r>
        <w:rPr>
          <w:b/>
        </w:rPr>
        <w:t>Settore: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 xml:space="preserve">Veterinaria e sicurezza alimentare </w:t>
      </w:r>
    </w:p>
    <w:p w14:paraId="3F4843A1" w14:textId="5CB2A3F5" w:rsidR="00F7096A" w:rsidRDefault="00F7096A" w:rsidP="00F7096A">
      <w:pPr>
        <w:ind w:left="376" w:right="357"/>
      </w:pPr>
      <w:r>
        <w:rPr>
          <w:b/>
        </w:rPr>
        <w:t>Denominazione</w:t>
      </w:r>
      <w:r>
        <w:t xml:space="preserve"> </w:t>
      </w:r>
      <w:r>
        <w:rPr>
          <w:b/>
        </w:rPr>
        <w:t>della</w:t>
      </w:r>
      <w:r>
        <w:t xml:space="preserve"> </w:t>
      </w:r>
      <w:r>
        <w:rPr>
          <w:b/>
        </w:rPr>
        <w:t>EQ:</w:t>
      </w:r>
      <w:r>
        <w:t xml:space="preserve"> Procedimenti amministrativo-contabili per l'area della Prevenzione</w:t>
      </w:r>
    </w:p>
    <w:p w14:paraId="5257493C" w14:textId="6BCF4A02" w:rsidR="00F7096A" w:rsidRDefault="00F7096A" w:rsidP="00F7096A">
      <w:pPr>
        <w:ind w:left="376" w:right="357"/>
        <w:rPr>
          <w:b/>
        </w:rPr>
      </w:pPr>
      <w:r>
        <w:rPr>
          <w:b/>
          <w:bCs/>
        </w:rPr>
        <w:t>Tipologia: A</w:t>
      </w:r>
    </w:p>
    <w:p w14:paraId="79A16327" w14:textId="77777777" w:rsidR="00F7096A" w:rsidRDefault="00F7096A" w:rsidP="00F7096A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211"/>
      </w:tblGrid>
      <w:tr w:rsidR="00F7096A" w14:paraId="4704475F" w14:textId="77777777" w:rsidTr="00BF4278">
        <w:trPr>
          <w:trHeight w:val="2364"/>
        </w:trPr>
        <w:tc>
          <w:tcPr>
            <w:tcW w:w="3852" w:type="dxa"/>
          </w:tcPr>
          <w:p w14:paraId="5AE0BCBC" w14:textId="45614366" w:rsidR="008B5ACB" w:rsidRDefault="008B5ACB" w:rsidP="00790D40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Processo di lavoro caratterizzante: </w:t>
            </w:r>
          </w:p>
          <w:p w14:paraId="7FCD7193" w14:textId="77777777" w:rsidR="00790D40" w:rsidRDefault="00790D40" w:rsidP="00790D40">
            <w:pPr>
              <w:pStyle w:val="TableParagraph"/>
              <w:ind w:left="164" w:right="70"/>
              <w:jc w:val="both"/>
            </w:pPr>
          </w:p>
          <w:p w14:paraId="63FE844B" w14:textId="5D2F6F4B" w:rsidR="00F7096A" w:rsidRDefault="008B5ACB" w:rsidP="00790D40">
            <w:pPr>
              <w:pStyle w:val="TableParagraph"/>
              <w:ind w:left="164" w:right="70"/>
              <w:jc w:val="both"/>
            </w:pPr>
            <w:r>
              <w:t xml:space="preserve">Supporto dal punto di vista organizzativo economico e programmatorio in materia di Prevenzione veterinaria e sicurezza alimentare, raccordo con l’Area della Prevenzione </w:t>
            </w:r>
          </w:p>
        </w:tc>
        <w:tc>
          <w:tcPr>
            <w:tcW w:w="6211" w:type="dxa"/>
          </w:tcPr>
          <w:p w14:paraId="7D4DD4CC" w14:textId="77777777" w:rsidR="008B5ACB" w:rsidRDefault="008B5ACB" w:rsidP="00790D40">
            <w:pPr>
              <w:pStyle w:val="Default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Procedimenti/Attività correlati </w:t>
            </w:r>
          </w:p>
          <w:p w14:paraId="7D5A735C" w14:textId="77777777" w:rsidR="00790D40" w:rsidRDefault="00790D40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</w:p>
          <w:p w14:paraId="2DE99530" w14:textId="078B12BC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Predisposizione di atti relativi ai rimborsi dovuti per gli animali abbattuti a seguito di focolai di malattie infettive. </w:t>
            </w:r>
          </w:p>
          <w:p w14:paraId="750D2EAC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Gestione dei rapporti con associazioni di categoria per le problematiche specifiche dell'area. </w:t>
            </w:r>
          </w:p>
          <w:p w14:paraId="15C46D54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Cura ed aggiornamento del tariffario delle prestazioni in materia veterinaria e sicurezza alimentare. </w:t>
            </w:r>
          </w:p>
          <w:p w14:paraId="2BA2F846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Rendiconto economico dei piani di profilassi e trasferimento delle risorse alle Aziende sanitarie. </w:t>
            </w:r>
          </w:p>
          <w:p w14:paraId="261B5738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Contabilità concernente i versamenti che le Aziende sanitarie devono effettuare a favore della Regione Marche, dell'Istituto Zooprofilattico Sperimentale dell'Umbria e delle Marche e del Ministero della Salute (D. Lgs 194/2008 – D. Lgs. 32/2021). </w:t>
            </w:r>
          </w:p>
          <w:p w14:paraId="01EDC542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Attuazione della L.266/1991 in tema di volontariato. </w:t>
            </w:r>
          </w:p>
          <w:p w14:paraId="19B51426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Rapporti di ordine economico con l'Istituto Zooprofilattico Sperimentale dell'Umbria e delle Marche con relativa valutazione dei programmi svolti e con altri Enti o Università. </w:t>
            </w:r>
          </w:p>
          <w:p w14:paraId="52D2BEDC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 amministrativi in relazione alle attività della commissione sugli animali esotici. </w:t>
            </w:r>
          </w:p>
          <w:p w14:paraId="79F0F295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Supporto alle attività amministrativo contabili dell’area della prevenzione, collettiva, veterinaria e per la sicurezza alimentare. </w:t>
            </w:r>
          </w:p>
          <w:p w14:paraId="2B973737" w14:textId="77777777" w:rsidR="008B5ACB" w:rsidRDefault="008B5ACB" w:rsidP="00790D40">
            <w:pPr>
              <w:pStyle w:val="Default"/>
              <w:spacing w:after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Monitoraggio degli adempimenti amministrativo contabili afferenti i capitoli del bilancio regionale. </w:t>
            </w:r>
          </w:p>
          <w:p w14:paraId="56FD1B11" w14:textId="76E2F2FF" w:rsidR="00F7096A" w:rsidRDefault="008B5ACB" w:rsidP="00790D40">
            <w:pPr>
              <w:pStyle w:val="TableParagraph"/>
              <w:spacing w:after="60"/>
              <w:ind w:left="142"/>
            </w:pPr>
            <w:r>
              <w:t xml:space="preserve">Supporto alla gestione di progetti di investimento finanziati da risorse nazionali o comunitarie. </w:t>
            </w:r>
            <w:r w:rsidR="00F7096A">
              <w:t xml:space="preserve"> </w:t>
            </w:r>
          </w:p>
        </w:tc>
      </w:tr>
    </w:tbl>
    <w:p w14:paraId="56DEC8C1" w14:textId="77777777" w:rsidR="00F7096A" w:rsidRDefault="00F7096A" w:rsidP="00F7096A">
      <w:pPr>
        <w:spacing w:before="7"/>
        <w:rPr>
          <w:b/>
        </w:rPr>
      </w:pPr>
    </w:p>
    <w:p w14:paraId="7DC9B35B" w14:textId="77777777" w:rsidR="00F7096A" w:rsidRDefault="00F7096A">
      <w:pPr>
        <w:spacing w:before="7"/>
        <w:rPr>
          <w:b/>
        </w:rPr>
      </w:pPr>
    </w:p>
    <w:sectPr w:rsidR="00F7096A">
      <w:headerReference w:type="default" r:id="rId6"/>
      <w:pgSz w:w="11900" w:h="16840"/>
      <w:pgMar w:top="1680" w:right="720" w:bottom="280" w:left="900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A954" w14:textId="77777777" w:rsidR="0078737F" w:rsidRDefault="0078737F">
      <w:r>
        <w:separator/>
      </w:r>
    </w:p>
  </w:endnote>
  <w:endnote w:type="continuationSeparator" w:id="0">
    <w:p w14:paraId="7B369240" w14:textId="77777777" w:rsidR="0078737F" w:rsidRDefault="0078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D633" w14:textId="77777777" w:rsidR="0078737F" w:rsidRDefault="0078737F">
      <w:r>
        <w:separator/>
      </w:r>
    </w:p>
  </w:footnote>
  <w:footnote w:type="continuationSeparator" w:id="0">
    <w:p w14:paraId="58B35257" w14:textId="77777777" w:rsidR="0078737F" w:rsidRDefault="0078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35E5" w14:textId="3BE39889" w:rsidR="00253576" w:rsidRDefault="00253576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6"/>
    <w:rsid w:val="00253576"/>
    <w:rsid w:val="00396E80"/>
    <w:rsid w:val="005E06BC"/>
    <w:rsid w:val="006108CD"/>
    <w:rsid w:val="006B0F34"/>
    <w:rsid w:val="0078737F"/>
    <w:rsid w:val="00790D40"/>
    <w:rsid w:val="0079138A"/>
    <w:rsid w:val="008B5ACB"/>
    <w:rsid w:val="009804F0"/>
    <w:rsid w:val="009863A6"/>
    <w:rsid w:val="00BD704C"/>
    <w:rsid w:val="00CA1D25"/>
    <w:rsid w:val="00F55591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9FCBD"/>
  <w15:docId w15:val="{25D5BA38-9395-4D51-A28A-F5113613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 w:right="176"/>
    </w:pPr>
  </w:style>
  <w:style w:type="paragraph" w:styleId="Intestazione">
    <w:name w:val="header"/>
    <w:basedOn w:val="Normale"/>
    <w:link w:val="IntestazioneCarattere"/>
    <w:uiPriority w:val="99"/>
    <w:unhideWhenUsed/>
    <w:rsid w:val="00610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8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8CD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6B0F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A2 DECLATORIA COMPETENZE POSIZIONI ORGANIZZATIVE.docx</vt:lpstr>
    </vt:vector>
  </TitlesOfParts>
  <Company>Regione Marche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A2 DECLATORIA COMPETENZE POSIZIONI ORGANIZZATIVE.docx</dc:title>
  <dc:creator>maurizio_meduri</dc:creator>
  <cp:lastModifiedBy>Paolo Aletti</cp:lastModifiedBy>
  <cp:revision>11</cp:revision>
  <dcterms:created xsi:type="dcterms:W3CDTF">2024-01-24T15:46:00Z</dcterms:created>
  <dcterms:modified xsi:type="dcterms:W3CDTF">2025-02-06T17:00:00Z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  <property fmtid="{D5CDD505-2E9C-101B-9397-08002B2CF9AE}" pid="5" name="Producer">
    <vt:lpwstr>GPL Ghostscript 9.27</vt:lpwstr>
  </property>
</Properties>
</file>